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77" w:rsidRPr="00E34D8A" w:rsidRDefault="00F95BBB" w:rsidP="00E34D8A">
      <w:pPr>
        <w:jc w:val="both"/>
        <w:rPr>
          <w:rFonts w:ascii="Times New Roman" w:hAnsi="Times New Roman" w:cs="Times New Roman"/>
          <w:b/>
          <w:sz w:val="24"/>
          <w:szCs w:val="24"/>
          <w:u w:val="single"/>
        </w:rPr>
      </w:pPr>
      <w:r w:rsidRPr="00E34D8A">
        <w:rPr>
          <w:rFonts w:ascii="Times New Roman" w:hAnsi="Times New Roman" w:cs="Times New Roman"/>
          <w:b/>
          <w:sz w:val="24"/>
          <w:szCs w:val="24"/>
          <w:u w:val="single"/>
        </w:rPr>
        <w:t>Gidilen Ülkelere Göre Günlük Hibe Miktarları</w:t>
      </w:r>
    </w:p>
    <w:p w:rsidR="00F95BBB" w:rsidRPr="00E34D8A" w:rsidRDefault="00F95BBB" w:rsidP="00E34D8A">
      <w:pPr>
        <w:jc w:val="both"/>
        <w:rPr>
          <w:rFonts w:ascii="Times New Roman" w:hAnsi="Times New Roman" w:cs="Times New Roman"/>
          <w:sz w:val="24"/>
          <w:szCs w:val="24"/>
        </w:rPr>
      </w:pPr>
      <w:r w:rsidRPr="00E34D8A">
        <w:rPr>
          <w:rFonts w:ascii="Times New Roman" w:hAnsi="Times New Roman" w:cs="Times New Roman"/>
          <w:sz w:val="24"/>
          <w:szCs w:val="24"/>
        </w:rPr>
        <w:t>Personel hareketliliğinden faydalanacak personele verilecek olan gündelik miktarı gidilen ülke ile birlikte gidilen süreye göre aşağıdaki tabloda belirtilen tutarlar dikkate alınarak hesaplanır. Tabloda gösterilen miktarlar Avro cinsindendir.</w:t>
      </w:r>
    </w:p>
    <w:p w:rsidR="00F95BBB" w:rsidRPr="00E34D8A" w:rsidRDefault="00F95BBB" w:rsidP="00E34D8A">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1"/>
        <w:gridCol w:w="2911"/>
        <w:gridCol w:w="2911"/>
      </w:tblGrid>
      <w:tr w:rsidR="00F95BBB" w:rsidRPr="00E34D8A" w:rsidTr="00E34D8A">
        <w:trPr>
          <w:trHeight w:val="642"/>
        </w:trPr>
        <w:tc>
          <w:tcPr>
            <w:tcW w:w="2911" w:type="dxa"/>
          </w:tcPr>
          <w:p w:rsidR="00F95BBB" w:rsidRPr="00E34D8A" w:rsidRDefault="00F95BBB" w:rsidP="00E34D8A">
            <w:pPr>
              <w:pStyle w:val="Default"/>
              <w:jc w:val="both"/>
            </w:pPr>
            <w:r w:rsidRPr="00E34D8A">
              <w:rPr>
                <w:b/>
                <w:bCs/>
              </w:rPr>
              <w:t xml:space="preserve">Ülke Grupları </w:t>
            </w:r>
          </w:p>
        </w:tc>
        <w:tc>
          <w:tcPr>
            <w:tcW w:w="2911" w:type="dxa"/>
          </w:tcPr>
          <w:p w:rsidR="00F95BBB" w:rsidRPr="00E34D8A" w:rsidRDefault="00F95BBB" w:rsidP="00E34D8A">
            <w:pPr>
              <w:pStyle w:val="Default"/>
              <w:jc w:val="both"/>
            </w:pPr>
            <w:r w:rsidRPr="00E34D8A">
              <w:rPr>
                <w:b/>
                <w:bCs/>
              </w:rPr>
              <w:t xml:space="preserve">Hareketlilikte Misafir Olunan Ülkeler </w:t>
            </w:r>
          </w:p>
        </w:tc>
        <w:tc>
          <w:tcPr>
            <w:tcW w:w="2911" w:type="dxa"/>
          </w:tcPr>
          <w:p w:rsidR="00F95BBB" w:rsidRPr="00E34D8A" w:rsidRDefault="00F95BBB" w:rsidP="00E34D8A">
            <w:pPr>
              <w:pStyle w:val="Default"/>
              <w:jc w:val="both"/>
            </w:pPr>
            <w:r w:rsidRPr="00E34D8A">
              <w:rPr>
                <w:b/>
                <w:bCs/>
              </w:rPr>
              <w:t xml:space="preserve">Günlük hibe miktarları (Avro) </w:t>
            </w:r>
          </w:p>
        </w:tc>
      </w:tr>
      <w:tr w:rsidR="00F95BBB" w:rsidRPr="00E34D8A" w:rsidTr="00E34D8A">
        <w:trPr>
          <w:trHeight w:val="1638"/>
        </w:trPr>
        <w:tc>
          <w:tcPr>
            <w:tcW w:w="2911" w:type="dxa"/>
          </w:tcPr>
          <w:p w:rsidR="00E34D8A" w:rsidRDefault="00E34D8A" w:rsidP="00E34D8A">
            <w:pPr>
              <w:pStyle w:val="Default"/>
              <w:jc w:val="both"/>
            </w:pPr>
          </w:p>
          <w:p w:rsidR="00E34D8A" w:rsidRDefault="00E34D8A" w:rsidP="00E34D8A">
            <w:pPr>
              <w:pStyle w:val="Default"/>
              <w:jc w:val="both"/>
            </w:pPr>
          </w:p>
          <w:p w:rsidR="00F95BBB" w:rsidRPr="00E34D8A" w:rsidRDefault="00F95BBB" w:rsidP="00E34D8A">
            <w:pPr>
              <w:pStyle w:val="Default"/>
              <w:jc w:val="both"/>
            </w:pPr>
            <w:r w:rsidRPr="00E34D8A">
              <w:t xml:space="preserve">1. Grup Program Ülkeleri </w:t>
            </w:r>
          </w:p>
        </w:tc>
        <w:tc>
          <w:tcPr>
            <w:tcW w:w="2911" w:type="dxa"/>
          </w:tcPr>
          <w:p w:rsidR="00F95BBB" w:rsidRPr="00E34D8A" w:rsidRDefault="00F95BBB" w:rsidP="00E34D8A">
            <w:pPr>
              <w:pStyle w:val="Default"/>
            </w:pPr>
            <w:r w:rsidRPr="00E34D8A">
              <w:t xml:space="preserve">Birleşik Krallık, Danimarka, Finlandiya, İrlanda, İsveç, İzlanda, Lihtenştayn, Lüksemburg, Norveç </w:t>
            </w:r>
          </w:p>
        </w:tc>
        <w:tc>
          <w:tcPr>
            <w:tcW w:w="2911" w:type="dxa"/>
          </w:tcPr>
          <w:p w:rsidR="00F95BBB" w:rsidRPr="00E34D8A" w:rsidRDefault="00F95BBB" w:rsidP="00E34D8A">
            <w:pPr>
              <w:pStyle w:val="Default"/>
              <w:jc w:val="both"/>
            </w:pPr>
          </w:p>
          <w:p w:rsidR="00F95BBB" w:rsidRPr="00E34D8A" w:rsidRDefault="00F95BBB" w:rsidP="00E34D8A">
            <w:pPr>
              <w:pStyle w:val="Default"/>
              <w:jc w:val="both"/>
            </w:pPr>
            <w:r w:rsidRPr="00E34D8A">
              <w:t>153</w:t>
            </w:r>
          </w:p>
        </w:tc>
      </w:tr>
      <w:tr w:rsidR="00F95BBB" w:rsidRPr="00E34D8A" w:rsidTr="00E34D8A">
        <w:trPr>
          <w:trHeight w:val="1671"/>
        </w:trPr>
        <w:tc>
          <w:tcPr>
            <w:tcW w:w="2911" w:type="dxa"/>
          </w:tcPr>
          <w:p w:rsidR="00E34D8A" w:rsidRDefault="00E34D8A" w:rsidP="00E34D8A">
            <w:pPr>
              <w:pStyle w:val="Default"/>
              <w:jc w:val="both"/>
            </w:pPr>
          </w:p>
          <w:p w:rsidR="00E34D8A" w:rsidRDefault="00E34D8A" w:rsidP="00E34D8A">
            <w:pPr>
              <w:pStyle w:val="Default"/>
              <w:jc w:val="both"/>
            </w:pPr>
          </w:p>
          <w:p w:rsidR="00F95BBB" w:rsidRPr="00E34D8A" w:rsidRDefault="00F95BBB" w:rsidP="00E34D8A">
            <w:pPr>
              <w:pStyle w:val="Default"/>
              <w:jc w:val="both"/>
            </w:pPr>
            <w:r w:rsidRPr="00E34D8A">
              <w:t xml:space="preserve">2. Grup Program Ülkeleri </w:t>
            </w:r>
          </w:p>
        </w:tc>
        <w:tc>
          <w:tcPr>
            <w:tcW w:w="2911" w:type="dxa"/>
          </w:tcPr>
          <w:p w:rsidR="00F95BBB" w:rsidRPr="00E34D8A" w:rsidRDefault="00F95BBB" w:rsidP="00E34D8A">
            <w:pPr>
              <w:pStyle w:val="Default"/>
            </w:pPr>
            <w:r w:rsidRPr="00E34D8A">
              <w:t xml:space="preserve">Almanya, Avusturya, Belçika, Fransa, Güney Kıbrıs, Hollanda, İspanya, İtalya, Malta, Portekiz, Yunanistan </w:t>
            </w:r>
          </w:p>
        </w:tc>
        <w:tc>
          <w:tcPr>
            <w:tcW w:w="2911" w:type="dxa"/>
          </w:tcPr>
          <w:p w:rsidR="00F95BBB" w:rsidRPr="00E34D8A" w:rsidRDefault="00F95BBB" w:rsidP="00E34D8A">
            <w:pPr>
              <w:pStyle w:val="Default"/>
              <w:jc w:val="both"/>
            </w:pPr>
          </w:p>
          <w:p w:rsidR="00F95BBB" w:rsidRPr="00E34D8A" w:rsidRDefault="00F95BBB" w:rsidP="00E34D8A">
            <w:pPr>
              <w:pStyle w:val="Default"/>
              <w:jc w:val="both"/>
            </w:pPr>
            <w:r w:rsidRPr="00E34D8A">
              <w:t>136</w:t>
            </w:r>
          </w:p>
        </w:tc>
      </w:tr>
      <w:tr w:rsidR="00F95BBB" w:rsidRPr="00E34D8A" w:rsidTr="00E34D8A">
        <w:trPr>
          <w:trHeight w:val="2272"/>
        </w:trPr>
        <w:tc>
          <w:tcPr>
            <w:tcW w:w="2911" w:type="dxa"/>
          </w:tcPr>
          <w:p w:rsidR="00E34D8A" w:rsidRDefault="00E34D8A" w:rsidP="00E34D8A">
            <w:pPr>
              <w:pStyle w:val="Default"/>
              <w:jc w:val="both"/>
            </w:pPr>
          </w:p>
          <w:p w:rsidR="00E34D8A" w:rsidRDefault="00E34D8A" w:rsidP="00E34D8A">
            <w:pPr>
              <w:pStyle w:val="Default"/>
              <w:jc w:val="both"/>
            </w:pPr>
          </w:p>
          <w:p w:rsidR="00E34D8A" w:rsidRDefault="00E34D8A" w:rsidP="00E34D8A">
            <w:pPr>
              <w:pStyle w:val="Default"/>
              <w:jc w:val="both"/>
            </w:pPr>
          </w:p>
          <w:p w:rsidR="00F95BBB" w:rsidRPr="00E34D8A" w:rsidRDefault="00F95BBB" w:rsidP="00E34D8A">
            <w:pPr>
              <w:pStyle w:val="Default"/>
              <w:jc w:val="both"/>
            </w:pPr>
            <w:r w:rsidRPr="00E34D8A">
              <w:t xml:space="preserve">3. Grup Program Ülkeleri </w:t>
            </w:r>
          </w:p>
        </w:tc>
        <w:tc>
          <w:tcPr>
            <w:tcW w:w="2911" w:type="dxa"/>
          </w:tcPr>
          <w:p w:rsidR="00F95BBB" w:rsidRPr="00E34D8A" w:rsidRDefault="00E34D8A" w:rsidP="00E34D8A">
            <w:pPr>
              <w:pStyle w:val="Default"/>
            </w:pPr>
            <w:r>
              <w:t xml:space="preserve">Bulgaristan, </w:t>
            </w:r>
            <w:r w:rsidR="00F95BBB" w:rsidRPr="00E34D8A">
              <w:t>Çek Cumhuriyeti, Estonya, Hırvatistan, Letonya, Litvanya, Macaristan, Makedonya, Polonya, Roman</w:t>
            </w:r>
            <w:r w:rsidR="0060432C">
              <w:t>ya, Slovakya, Slovenya.</w:t>
            </w:r>
            <w:r w:rsidR="00F95BBB" w:rsidRPr="00E34D8A">
              <w:t xml:space="preserve"> </w:t>
            </w:r>
          </w:p>
        </w:tc>
        <w:tc>
          <w:tcPr>
            <w:tcW w:w="2911" w:type="dxa"/>
          </w:tcPr>
          <w:p w:rsidR="00F95BBB" w:rsidRPr="00E34D8A" w:rsidRDefault="00F95BBB" w:rsidP="00E34D8A">
            <w:pPr>
              <w:pStyle w:val="Default"/>
              <w:jc w:val="both"/>
            </w:pPr>
          </w:p>
          <w:p w:rsidR="00F95BBB" w:rsidRPr="00E34D8A" w:rsidRDefault="00F95BBB" w:rsidP="00E34D8A">
            <w:pPr>
              <w:pStyle w:val="Default"/>
              <w:jc w:val="both"/>
            </w:pPr>
            <w:r w:rsidRPr="00E34D8A">
              <w:t>119</w:t>
            </w:r>
          </w:p>
        </w:tc>
      </w:tr>
    </w:tbl>
    <w:p w:rsidR="00F95BBB" w:rsidRPr="00E34D8A" w:rsidRDefault="00F95BBB" w:rsidP="00E34D8A">
      <w:pPr>
        <w:jc w:val="both"/>
        <w:rPr>
          <w:rFonts w:ascii="Times New Roman" w:hAnsi="Times New Roman" w:cs="Times New Roman"/>
          <w:b/>
          <w:sz w:val="24"/>
          <w:szCs w:val="24"/>
        </w:rPr>
      </w:pPr>
    </w:p>
    <w:p w:rsidR="00F95BBB" w:rsidRPr="00E34D8A" w:rsidRDefault="00F95BBB" w:rsidP="00E34D8A">
      <w:pPr>
        <w:jc w:val="both"/>
        <w:rPr>
          <w:rFonts w:ascii="Times New Roman" w:hAnsi="Times New Roman" w:cs="Times New Roman"/>
          <w:b/>
          <w:sz w:val="24"/>
          <w:szCs w:val="24"/>
        </w:rPr>
      </w:pPr>
    </w:p>
    <w:p w:rsidR="00E34D8A" w:rsidRPr="00E34D8A" w:rsidRDefault="00F95BBB" w:rsidP="00E34D8A">
      <w:pPr>
        <w:jc w:val="both"/>
        <w:rPr>
          <w:rFonts w:ascii="Times New Roman" w:hAnsi="Times New Roman" w:cs="Times New Roman"/>
          <w:sz w:val="24"/>
          <w:szCs w:val="24"/>
        </w:rPr>
      </w:pPr>
      <w:r w:rsidRPr="00E34D8A">
        <w:rPr>
          <w:rFonts w:ascii="Times New Roman" w:hAnsi="Times New Roman" w:cs="Times New Roman"/>
          <w:sz w:val="24"/>
          <w:szCs w:val="24"/>
        </w:rPr>
        <w:t>Herhangi bir faaliyet içermeyen ya da gerçekleştirilen faaliyetin türüne uygun faaliyet yapıldığı belgelenemeyen günler için hibe ödemesi yapılmaz.</w:t>
      </w:r>
    </w:p>
    <w:p w:rsidR="00E34D8A" w:rsidRPr="00E34D8A" w:rsidRDefault="00F95BBB" w:rsidP="00E34D8A">
      <w:pPr>
        <w:jc w:val="both"/>
        <w:rPr>
          <w:rFonts w:ascii="Times New Roman" w:hAnsi="Times New Roman" w:cs="Times New Roman"/>
          <w:sz w:val="24"/>
          <w:szCs w:val="24"/>
        </w:rPr>
      </w:pPr>
      <w:r w:rsidRPr="00E34D8A">
        <w:rPr>
          <w:rFonts w:ascii="Times New Roman" w:hAnsi="Times New Roman" w:cs="Times New Roman"/>
          <w:sz w:val="24"/>
          <w:szCs w:val="24"/>
        </w:rPr>
        <w:t xml:space="preserve"> - Personel karşı kuruma gitmeden önce, ilk ödeme olarak, öngörülen toplam faaliyet süresi için hesaplanan gündelik ve mesafe hesaplayıcı aracılığı ile tespit edilen seyahat gideri toplamının %80’i orandaki kısmı ödenir.</w:t>
      </w:r>
    </w:p>
    <w:p w:rsidR="00E34D8A" w:rsidRPr="00E34D8A" w:rsidRDefault="00F95BBB" w:rsidP="00E34D8A">
      <w:pPr>
        <w:jc w:val="both"/>
        <w:rPr>
          <w:rFonts w:ascii="Times New Roman" w:hAnsi="Times New Roman" w:cs="Times New Roman"/>
          <w:sz w:val="24"/>
          <w:szCs w:val="24"/>
        </w:rPr>
      </w:pPr>
      <w:r w:rsidRPr="00E34D8A">
        <w:rPr>
          <w:rFonts w:ascii="Times New Roman" w:hAnsi="Times New Roman" w:cs="Times New Roman"/>
          <w:sz w:val="24"/>
          <w:szCs w:val="24"/>
        </w:rPr>
        <w:t xml:space="preserve"> - İkinci taksit, faaliyet dönemi sonunda, personele verilen katılım sertifikası ve pasaport giriş/çıkış tarihlerinde yer alan kesin gerçekleşme süresi dikkate alınarak yapılır. </w:t>
      </w:r>
    </w:p>
    <w:p w:rsidR="00E34D8A" w:rsidRPr="00E34D8A" w:rsidRDefault="00F95BBB" w:rsidP="00E34D8A">
      <w:pPr>
        <w:jc w:val="both"/>
        <w:rPr>
          <w:rFonts w:ascii="Times New Roman" w:hAnsi="Times New Roman" w:cs="Times New Roman"/>
          <w:b/>
          <w:sz w:val="24"/>
          <w:szCs w:val="24"/>
          <w:u w:val="single"/>
        </w:rPr>
      </w:pPr>
      <w:r w:rsidRPr="00E34D8A">
        <w:rPr>
          <w:rFonts w:ascii="Times New Roman" w:hAnsi="Times New Roman" w:cs="Times New Roman"/>
          <w:b/>
          <w:sz w:val="24"/>
          <w:szCs w:val="24"/>
          <w:u w:val="single"/>
        </w:rPr>
        <w:t xml:space="preserve">Seyahat Gideri Hesaplamaları </w:t>
      </w:r>
    </w:p>
    <w:p w:rsidR="00F95BBB" w:rsidRPr="00E34D8A" w:rsidRDefault="00F95BBB" w:rsidP="00E34D8A">
      <w:pPr>
        <w:jc w:val="both"/>
        <w:rPr>
          <w:rFonts w:ascii="Times New Roman" w:hAnsi="Times New Roman" w:cs="Times New Roman"/>
          <w:sz w:val="24"/>
          <w:szCs w:val="24"/>
        </w:rPr>
      </w:pPr>
      <w:r w:rsidRPr="00E34D8A">
        <w:rPr>
          <w:rFonts w:ascii="Times New Roman" w:hAnsi="Times New Roman" w:cs="Times New Roman"/>
          <w:sz w:val="24"/>
          <w:szCs w:val="24"/>
        </w:rPr>
        <w:t>Personel hareketliliği faaliyetinden faydalanan personeline ödenecek seyahat gideri miktarı “Mesafe Hesaplayıcı” kullanılarak hesap edilmelidir. Mesafe hesaplayıcısına aşağıdaki bağlantıdan ulaşılabilmektedir:</w:t>
      </w:r>
    </w:p>
    <w:p w:rsidR="00E34D8A" w:rsidRPr="00E34D8A" w:rsidRDefault="0060432C" w:rsidP="00E34D8A">
      <w:pPr>
        <w:jc w:val="both"/>
        <w:rPr>
          <w:rFonts w:ascii="Times New Roman" w:hAnsi="Times New Roman" w:cs="Times New Roman"/>
          <w:sz w:val="24"/>
          <w:szCs w:val="24"/>
        </w:rPr>
      </w:pPr>
      <w:hyperlink r:id="rId5" w:history="1">
        <w:r w:rsidR="00E34D8A" w:rsidRPr="00E34D8A">
          <w:rPr>
            <w:rStyle w:val="Kpr"/>
            <w:rFonts w:ascii="Times New Roman" w:hAnsi="Times New Roman" w:cs="Times New Roman"/>
            <w:sz w:val="24"/>
            <w:szCs w:val="24"/>
          </w:rPr>
          <w:t>http://ec.europa.eu/programmes/erasmus-plus/tools/distance_en.htm</w:t>
        </w:r>
      </w:hyperlink>
      <w:r w:rsidR="00E34D8A" w:rsidRPr="00E34D8A">
        <w:rPr>
          <w:rFonts w:ascii="Times New Roman" w:hAnsi="Times New Roman" w:cs="Times New Roman"/>
          <w:sz w:val="24"/>
          <w:szCs w:val="24"/>
        </w:rPr>
        <w:t xml:space="preserve"> </w:t>
      </w:r>
    </w:p>
    <w:p w:rsidR="00E34D8A" w:rsidRPr="00E34D8A" w:rsidRDefault="00E34D8A" w:rsidP="00E34D8A">
      <w:pPr>
        <w:jc w:val="both"/>
        <w:rPr>
          <w:rFonts w:ascii="Times New Roman" w:hAnsi="Times New Roman" w:cs="Times New Roman"/>
          <w:sz w:val="24"/>
          <w:szCs w:val="24"/>
        </w:rPr>
      </w:pPr>
      <w:r w:rsidRPr="00E34D8A">
        <w:rPr>
          <w:rFonts w:ascii="Times New Roman" w:hAnsi="Times New Roman" w:cs="Times New Roman"/>
          <w:sz w:val="24"/>
          <w:szCs w:val="24"/>
        </w:rPr>
        <w:t>Mesafe hesaplayıcısı aracılığı ile personelin yerleşik olduğu yerden, faaliyet yerine kadar olan iki nokta arasının km değeri tespit edilmeli ve aşağıdaki tablo kullanılarak seyahat hibesi hesaplanmalıdır. Mesafe hesaplayıcıda çıkan kilometrenin aşağıdaki tablodaki hibe karşılığı gidiş dönüş rakamı olup, söz konusu miktar ikiyle çarpılmaz. Personelin aktarmalı olarak seyahat etmesi, yukarıda belirtilen mesafe hesaplaması ile varılan mesafeyi etkilemez.</w:t>
      </w:r>
    </w:p>
    <w:p w:rsidR="00E34D8A" w:rsidRPr="00E34D8A" w:rsidRDefault="00E34D8A" w:rsidP="00E34D8A">
      <w:pPr>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3761"/>
      </w:tblGrid>
      <w:tr w:rsidR="00E34D8A" w:rsidRPr="00E34D8A" w:rsidTr="009B0969">
        <w:trPr>
          <w:trHeight w:val="553"/>
        </w:trPr>
        <w:tc>
          <w:tcPr>
            <w:tcW w:w="3789" w:type="dxa"/>
          </w:tcPr>
          <w:p w:rsidR="00E34D8A" w:rsidRPr="00E34D8A" w:rsidRDefault="00E34D8A">
            <w:pPr>
              <w:pStyle w:val="Default"/>
            </w:pPr>
            <w:r w:rsidRPr="00E34D8A">
              <w:rPr>
                <w:b/>
                <w:bCs/>
              </w:rPr>
              <w:t xml:space="preserve">Elde edilen “km” değeri </w:t>
            </w:r>
          </w:p>
        </w:tc>
        <w:tc>
          <w:tcPr>
            <w:tcW w:w="3761" w:type="dxa"/>
          </w:tcPr>
          <w:p w:rsidR="00E34D8A" w:rsidRPr="00E34D8A" w:rsidRDefault="00E34D8A">
            <w:pPr>
              <w:pStyle w:val="Default"/>
            </w:pPr>
            <w:r w:rsidRPr="00E34D8A">
              <w:rPr>
                <w:b/>
                <w:bCs/>
              </w:rPr>
              <w:t xml:space="preserve">Hibe miktarı (Avro) </w:t>
            </w:r>
          </w:p>
        </w:tc>
      </w:tr>
      <w:tr w:rsidR="00E34D8A" w:rsidRPr="00E34D8A" w:rsidTr="009B0969">
        <w:trPr>
          <w:trHeight w:val="942"/>
        </w:trPr>
        <w:tc>
          <w:tcPr>
            <w:tcW w:w="3789" w:type="dxa"/>
          </w:tcPr>
          <w:p w:rsidR="009B0969" w:rsidRDefault="009B0969">
            <w:pPr>
              <w:pStyle w:val="Default"/>
            </w:pPr>
          </w:p>
          <w:p w:rsidR="00E34D8A" w:rsidRPr="00E34D8A" w:rsidRDefault="00E34D8A">
            <w:pPr>
              <w:pStyle w:val="Default"/>
            </w:pPr>
            <w:r w:rsidRPr="00E34D8A">
              <w:t xml:space="preserve">10-99 KM arası </w:t>
            </w:r>
          </w:p>
        </w:tc>
        <w:tc>
          <w:tcPr>
            <w:tcW w:w="3761" w:type="dxa"/>
          </w:tcPr>
          <w:p w:rsidR="00E34D8A" w:rsidRPr="00E34D8A" w:rsidRDefault="00E34D8A" w:rsidP="00E34D8A">
            <w:pPr>
              <w:pStyle w:val="Default"/>
              <w:jc w:val="center"/>
            </w:pPr>
            <w:r w:rsidRPr="00E34D8A">
              <w:t>20 €</w:t>
            </w:r>
          </w:p>
        </w:tc>
      </w:tr>
      <w:tr w:rsidR="00E34D8A" w:rsidRPr="00E34D8A" w:rsidTr="009B0969">
        <w:trPr>
          <w:trHeight w:val="865"/>
        </w:trPr>
        <w:tc>
          <w:tcPr>
            <w:tcW w:w="3789" w:type="dxa"/>
          </w:tcPr>
          <w:p w:rsidR="009B0969" w:rsidRDefault="009B0969">
            <w:pPr>
              <w:pStyle w:val="Default"/>
            </w:pPr>
          </w:p>
          <w:p w:rsidR="00E34D8A" w:rsidRPr="00E34D8A" w:rsidRDefault="00E34D8A">
            <w:pPr>
              <w:pStyle w:val="Default"/>
            </w:pPr>
            <w:r w:rsidRPr="00E34D8A">
              <w:t xml:space="preserve">100 - 499 KM arası </w:t>
            </w:r>
          </w:p>
        </w:tc>
        <w:tc>
          <w:tcPr>
            <w:tcW w:w="3761" w:type="dxa"/>
          </w:tcPr>
          <w:p w:rsidR="00E34D8A" w:rsidRPr="00E34D8A" w:rsidRDefault="00E34D8A" w:rsidP="00E34D8A">
            <w:pPr>
              <w:pStyle w:val="Default"/>
              <w:jc w:val="center"/>
            </w:pPr>
            <w:r w:rsidRPr="00E34D8A">
              <w:t>180</w:t>
            </w:r>
          </w:p>
        </w:tc>
      </w:tr>
      <w:tr w:rsidR="00E34D8A" w:rsidRPr="00E34D8A" w:rsidTr="009B0969">
        <w:trPr>
          <w:trHeight w:val="880"/>
        </w:trPr>
        <w:tc>
          <w:tcPr>
            <w:tcW w:w="3789" w:type="dxa"/>
          </w:tcPr>
          <w:p w:rsidR="009B0969" w:rsidRDefault="009B0969">
            <w:pPr>
              <w:pStyle w:val="Default"/>
            </w:pPr>
          </w:p>
          <w:p w:rsidR="00E34D8A" w:rsidRPr="00E34D8A" w:rsidRDefault="00E34D8A">
            <w:pPr>
              <w:pStyle w:val="Default"/>
            </w:pPr>
            <w:r w:rsidRPr="00E34D8A">
              <w:t xml:space="preserve">500 - 1999 KM arası </w:t>
            </w:r>
          </w:p>
        </w:tc>
        <w:tc>
          <w:tcPr>
            <w:tcW w:w="3761" w:type="dxa"/>
          </w:tcPr>
          <w:p w:rsidR="00E34D8A" w:rsidRPr="00E34D8A" w:rsidRDefault="00E34D8A" w:rsidP="00E34D8A">
            <w:pPr>
              <w:pStyle w:val="Default"/>
              <w:jc w:val="center"/>
            </w:pPr>
            <w:r w:rsidRPr="00E34D8A">
              <w:t>275</w:t>
            </w:r>
          </w:p>
        </w:tc>
      </w:tr>
      <w:tr w:rsidR="00E34D8A" w:rsidRPr="00E34D8A" w:rsidTr="009B0969">
        <w:trPr>
          <w:trHeight w:val="863"/>
        </w:trPr>
        <w:tc>
          <w:tcPr>
            <w:tcW w:w="3789" w:type="dxa"/>
          </w:tcPr>
          <w:p w:rsidR="009B0969" w:rsidRDefault="009B0969">
            <w:pPr>
              <w:pStyle w:val="Default"/>
            </w:pPr>
          </w:p>
          <w:p w:rsidR="00E34D8A" w:rsidRPr="00E34D8A" w:rsidRDefault="00E34D8A">
            <w:pPr>
              <w:pStyle w:val="Default"/>
            </w:pPr>
            <w:r w:rsidRPr="00E34D8A">
              <w:t xml:space="preserve">2000 - 2999 KM arası </w:t>
            </w:r>
          </w:p>
        </w:tc>
        <w:tc>
          <w:tcPr>
            <w:tcW w:w="3761" w:type="dxa"/>
          </w:tcPr>
          <w:p w:rsidR="00E34D8A" w:rsidRPr="00E34D8A" w:rsidRDefault="00E34D8A" w:rsidP="00E34D8A">
            <w:pPr>
              <w:pStyle w:val="Default"/>
              <w:jc w:val="center"/>
            </w:pPr>
            <w:r w:rsidRPr="00E34D8A">
              <w:t>360</w:t>
            </w:r>
          </w:p>
        </w:tc>
      </w:tr>
      <w:tr w:rsidR="00E34D8A" w:rsidRPr="00E34D8A" w:rsidTr="009B0969">
        <w:trPr>
          <w:trHeight w:val="875"/>
        </w:trPr>
        <w:tc>
          <w:tcPr>
            <w:tcW w:w="3789" w:type="dxa"/>
          </w:tcPr>
          <w:p w:rsidR="009B0969" w:rsidRDefault="009B0969">
            <w:pPr>
              <w:pStyle w:val="Default"/>
            </w:pPr>
          </w:p>
          <w:p w:rsidR="00E34D8A" w:rsidRPr="00E34D8A" w:rsidRDefault="00E34D8A">
            <w:pPr>
              <w:pStyle w:val="Default"/>
            </w:pPr>
            <w:r w:rsidRPr="00E34D8A">
              <w:t xml:space="preserve">3000 - 3999 KM arası </w:t>
            </w:r>
          </w:p>
        </w:tc>
        <w:tc>
          <w:tcPr>
            <w:tcW w:w="3761" w:type="dxa"/>
          </w:tcPr>
          <w:p w:rsidR="00E34D8A" w:rsidRPr="00E34D8A" w:rsidRDefault="00E34D8A" w:rsidP="00E34D8A">
            <w:pPr>
              <w:pStyle w:val="Default"/>
              <w:jc w:val="center"/>
            </w:pPr>
            <w:r w:rsidRPr="00E34D8A">
              <w:t>530</w:t>
            </w:r>
          </w:p>
        </w:tc>
      </w:tr>
      <w:tr w:rsidR="00E34D8A" w:rsidRPr="00E34D8A" w:rsidTr="009B0969">
        <w:trPr>
          <w:trHeight w:val="858"/>
        </w:trPr>
        <w:tc>
          <w:tcPr>
            <w:tcW w:w="3789" w:type="dxa"/>
          </w:tcPr>
          <w:p w:rsidR="009B0969" w:rsidRDefault="009B0969">
            <w:pPr>
              <w:pStyle w:val="Default"/>
            </w:pPr>
          </w:p>
          <w:p w:rsidR="00E34D8A" w:rsidRPr="00E34D8A" w:rsidRDefault="00E34D8A">
            <w:pPr>
              <w:pStyle w:val="Default"/>
            </w:pPr>
            <w:r w:rsidRPr="00E34D8A">
              <w:t xml:space="preserve">4000 - 7999 KM arası </w:t>
            </w:r>
          </w:p>
        </w:tc>
        <w:tc>
          <w:tcPr>
            <w:tcW w:w="3761" w:type="dxa"/>
          </w:tcPr>
          <w:p w:rsidR="00E34D8A" w:rsidRPr="00E34D8A" w:rsidRDefault="00E34D8A" w:rsidP="00E34D8A">
            <w:pPr>
              <w:pStyle w:val="Default"/>
              <w:jc w:val="center"/>
            </w:pPr>
            <w:r w:rsidRPr="00E34D8A">
              <w:t>820</w:t>
            </w:r>
          </w:p>
        </w:tc>
      </w:tr>
      <w:tr w:rsidR="00E34D8A" w:rsidRPr="00E34D8A" w:rsidTr="009B0969">
        <w:trPr>
          <w:trHeight w:val="873"/>
        </w:trPr>
        <w:tc>
          <w:tcPr>
            <w:tcW w:w="3789" w:type="dxa"/>
          </w:tcPr>
          <w:p w:rsidR="009B0969" w:rsidRDefault="009B0969">
            <w:pPr>
              <w:pStyle w:val="Default"/>
            </w:pPr>
          </w:p>
          <w:p w:rsidR="00E34D8A" w:rsidRPr="00E34D8A" w:rsidRDefault="00E34D8A">
            <w:pPr>
              <w:pStyle w:val="Default"/>
            </w:pPr>
            <w:r w:rsidRPr="00E34D8A">
              <w:t xml:space="preserve">8000 KM ve üzeri </w:t>
            </w:r>
          </w:p>
        </w:tc>
        <w:tc>
          <w:tcPr>
            <w:tcW w:w="3761" w:type="dxa"/>
          </w:tcPr>
          <w:p w:rsidR="00E34D8A" w:rsidRPr="00E34D8A" w:rsidRDefault="00E34D8A" w:rsidP="00E34D8A">
            <w:pPr>
              <w:pStyle w:val="Default"/>
              <w:jc w:val="center"/>
            </w:pPr>
            <w:r w:rsidRPr="00E34D8A">
              <w:t>1500</w:t>
            </w:r>
          </w:p>
        </w:tc>
      </w:tr>
    </w:tbl>
    <w:p w:rsidR="00E34D8A" w:rsidRPr="00E34D8A" w:rsidRDefault="00E34D8A" w:rsidP="00E34D8A">
      <w:pPr>
        <w:jc w:val="both"/>
        <w:rPr>
          <w:rFonts w:ascii="Times New Roman" w:hAnsi="Times New Roman" w:cs="Times New Roman"/>
          <w:b/>
          <w:sz w:val="24"/>
          <w:szCs w:val="24"/>
        </w:rPr>
      </w:pPr>
    </w:p>
    <w:p w:rsidR="00E34D8A" w:rsidRPr="00E34D8A" w:rsidRDefault="00E34D8A" w:rsidP="00E34D8A">
      <w:pPr>
        <w:jc w:val="both"/>
        <w:rPr>
          <w:rFonts w:ascii="Times New Roman" w:hAnsi="Times New Roman" w:cs="Times New Roman"/>
          <w:b/>
          <w:sz w:val="24"/>
          <w:szCs w:val="24"/>
        </w:rPr>
      </w:pPr>
    </w:p>
    <w:p w:rsidR="00E34D8A" w:rsidRPr="00E34D8A" w:rsidRDefault="00E34D8A" w:rsidP="00E34D8A">
      <w:pPr>
        <w:jc w:val="both"/>
        <w:rPr>
          <w:rFonts w:ascii="Times New Roman" w:hAnsi="Times New Roman" w:cs="Times New Roman"/>
          <w:b/>
          <w:sz w:val="24"/>
          <w:szCs w:val="24"/>
        </w:rPr>
      </w:pPr>
    </w:p>
    <w:p w:rsidR="00E34D8A" w:rsidRPr="00E34D8A" w:rsidRDefault="00E34D8A" w:rsidP="00E34D8A">
      <w:pPr>
        <w:jc w:val="both"/>
        <w:rPr>
          <w:rFonts w:ascii="Times New Roman" w:hAnsi="Times New Roman" w:cs="Times New Roman"/>
          <w:b/>
          <w:sz w:val="24"/>
          <w:szCs w:val="24"/>
        </w:rPr>
      </w:pPr>
    </w:p>
    <w:p w:rsidR="00E34D8A" w:rsidRPr="00E34D8A" w:rsidRDefault="00E34D8A" w:rsidP="00E34D8A">
      <w:pPr>
        <w:jc w:val="both"/>
        <w:rPr>
          <w:rFonts w:ascii="Times New Roman" w:hAnsi="Times New Roman" w:cs="Times New Roman"/>
          <w:b/>
          <w:sz w:val="24"/>
          <w:szCs w:val="24"/>
        </w:rPr>
      </w:pPr>
    </w:p>
    <w:p w:rsidR="00E34D8A" w:rsidRPr="00E34D8A" w:rsidRDefault="00E34D8A" w:rsidP="00E34D8A">
      <w:pPr>
        <w:jc w:val="both"/>
        <w:rPr>
          <w:rFonts w:ascii="Times New Roman" w:hAnsi="Times New Roman" w:cs="Times New Roman"/>
          <w:b/>
          <w:sz w:val="24"/>
          <w:szCs w:val="24"/>
        </w:rPr>
      </w:pPr>
    </w:p>
    <w:p w:rsidR="00E34D8A" w:rsidRPr="00E34D8A" w:rsidRDefault="00E34D8A" w:rsidP="00E34D8A">
      <w:pPr>
        <w:jc w:val="both"/>
        <w:rPr>
          <w:rFonts w:ascii="Times New Roman" w:hAnsi="Times New Roman" w:cs="Times New Roman"/>
          <w:b/>
          <w:sz w:val="24"/>
          <w:szCs w:val="24"/>
        </w:rPr>
      </w:pPr>
    </w:p>
    <w:p w:rsidR="00E34D8A" w:rsidRPr="00E34D8A" w:rsidRDefault="00E34D8A" w:rsidP="00E34D8A">
      <w:pPr>
        <w:jc w:val="both"/>
        <w:rPr>
          <w:rFonts w:ascii="Times New Roman" w:hAnsi="Times New Roman" w:cs="Times New Roman"/>
          <w:b/>
          <w:sz w:val="24"/>
          <w:szCs w:val="24"/>
        </w:rPr>
      </w:pPr>
    </w:p>
    <w:p w:rsidR="00E34D8A" w:rsidRPr="00E34D8A" w:rsidRDefault="00E34D8A" w:rsidP="00E34D8A">
      <w:pPr>
        <w:jc w:val="both"/>
        <w:rPr>
          <w:rFonts w:ascii="Times New Roman" w:hAnsi="Times New Roman" w:cs="Times New Roman"/>
          <w:b/>
          <w:sz w:val="24"/>
          <w:szCs w:val="24"/>
          <w:u w:val="single"/>
        </w:rPr>
      </w:pPr>
      <w:bookmarkStart w:id="0" w:name="_GoBack"/>
      <w:bookmarkEnd w:id="0"/>
      <w:r w:rsidRPr="00E34D8A">
        <w:rPr>
          <w:rFonts w:ascii="Times New Roman" w:hAnsi="Times New Roman" w:cs="Times New Roman"/>
          <w:b/>
          <w:sz w:val="24"/>
          <w:szCs w:val="24"/>
          <w:u w:val="single"/>
        </w:rPr>
        <w:lastRenderedPageBreak/>
        <w:t xml:space="preserve">ÖNEMLİ NOTLAR: </w:t>
      </w:r>
    </w:p>
    <w:p w:rsidR="00E34D8A" w:rsidRPr="00E34D8A" w:rsidRDefault="00E34D8A" w:rsidP="00E34D8A">
      <w:pPr>
        <w:jc w:val="both"/>
        <w:rPr>
          <w:rFonts w:ascii="Times New Roman" w:hAnsi="Times New Roman" w:cs="Times New Roman"/>
          <w:b/>
          <w:color w:val="FF0000"/>
          <w:sz w:val="24"/>
          <w:szCs w:val="24"/>
          <w:u w:val="single"/>
        </w:rPr>
      </w:pPr>
      <w:r w:rsidRPr="00E34D8A">
        <w:rPr>
          <w:rFonts w:ascii="Times New Roman" w:hAnsi="Times New Roman" w:cs="Times New Roman"/>
          <w:b/>
          <w:color w:val="FF0000"/>
          <w:sz w:val="24"/>
          <w:szCs w:val="24"/>
          <w:u w:val="single"/>
        </w:rPr>
        <w:t>A-</w:t>
      </w:r>
      <w:proofErr w:type="spellStart"/>
      <w:r w:rsidRPr="00E34D8A">
        <w:rPr>
          <w:rFonts w:ascii="Times New Roman" w:hAnsi="Times New Roman" w:cs="Times New Roman"/>
          <w:b/>
          <w:color w:val="FF0000"/>
          <w:sz w:val="24"/>
          <w:szCs w:val="24"/>
          <w:u w:val="single"/>
        </w:rPr>
        <w:t>Erasmus</w:t>
      </w:r>
      <w:proofErr w:type="spellEnd"/>
      <w:r w:rsidRPr="00E34D8A">
        <w:rPr>
          <w:rFonts w:ascii="Times New Roman" w:hAnsi="Times New Roman" w:cs="Times New Roman"/>
          <w:b/>
          <w:color w:val="FF0000"/>
          <w:sz w:val="24"/>
          <w:szCs w:val="24"/>
          <w:u w:val="single"/>
        </w:rPr>
        <w:t xml:space="preserve"> Personel Ders Verme/Eğitim Alma Hareketliliği: </w:t>
      </w:r>
    </w:p>
    <w:p w:rsidR="00E34D8A" w:rsidRPr="00E34D8A" w:rsidRDefault="00E34D8A" w:rsidP="00E34D8A">
      <w:pPr>
        <w:jc w:val="both"/>
        <w:rPr>
          <w:rFonts w:ascii="Times New Roman" w:hAnsi="Times New Roman" w:cs="Times New Roman"/>
          <w:sz w:val="24"/>
          <w:szCs w:val="24"/>
        </w:rPr>
      </w:pPr>
      <w:r w:rsidRPr="00E34D8A">
        <w:rPr>
          <w:rFonts w:ascii="Times New Roman" w:hAnsi="Times New Roman" w:cs="Times New Roman"/>
          <w:sz w:val="24"/>
          <w:szCs w:val="24"/>
        </w:rPr>
        <w:t xml:space="preserve">Personel ders verme/eğitim alma hareketliliğinin geçerli bir faaliyet olarak değerlendirilebilmesi için </w:t>
      </w:r>
      <w:r w:rsidRPr="00E34D8A">
        <w:rPr>
          <w:rFonts w:ascii="Times New Roman" w:hAnsi="Times New Roman" w:cs="Times New Roman"/>
          <w:b/>
          <w:sz w:val="24"/>
          <w:szCs w:val="24"/>
        </w:rPr>
        <w:t>seyahat hariç en az ardışık 2 en fazla 5 iş günü ve en az 8 ders saati ders verilmesi</w:t>
      </w:r>
      <w:r w:rsidRPr="00E34D8A">
        <w:rPr>
          <w:rFonts w:ascii="Times New Roman" w:hAnsi="Times New Roman" w:cs="Times New Roman"/>
          <w:sz w:val="24"/>
          <w:szCs w:val="24"/>
        </w:rPr>
        <w:t xml:space="preserve"> zorunludur.</w:t>
      </w:r>
    </w:p>
    <w:p w:rsidR="00E34D8A" w:rsidRPr="00E34D8A" w:rsidRDefault="00E34D8A" w:rsidP="00E34D8A">
      <w:pPr>
        <w:jc w:val="both"/>
        <w:rPr>
          <w:rFonts w:ascii="Times New Roman" w:hAnsi="Times New Roman" w:cs="Times New Roman"/>
          <w:sz w:val="24"/>
          <w:szCs w:val="24"/>
        </w:rPr>
      </w:pPr>
      <w:r w:rsidRPr="00E34D8A">
        <w:rPr>
          <w:rFonts w:ascii="Times New Roman" w:hAnsi="Times New Roman" w:cs="Times New Roman"/>
          <w:sz w:val="24"/>
          <w:szCs w:val="24"/>
        </w:rPr>
        <w:t xml:space="preserve"> Personel ders verme/eğitim alma hareketliliğinde, öğretim programında ve/veya katılım sertifikasında yararlanıcının </w:t>
      </w:r>
      <w:r w:rsidRPr="00E34D8A">
        <w:rPr>
          <w:rFonts w:ascii="Times New Roman" w:hAnsi="Times New Roman" w:cs="Times New Roman"/>
          <w:b/>
          <w:sz w:val="24"/>
          <w:szCs w:val="24"/>
        </w:rPr>
        <w:t>en az 8 saat ders verdiği/eğitim aldığı açıkça görünmediği</w:t>
      </w:r>
      <w:r w:rsidRPr="00E34D8A">
        <w:rPr>
          <w:rFonts w:ascii="Times New Roman" w:hAnsi="Times New Roman" w:cs="Times New Roman"/>
          <w:sz w:val="24"/>
          <w:szCs w:val="24"/>
        </w:rPr>
        <w:t xml:space="preserve"> durumlarda faaliyet geçersiz kabul edilir ve yararlanıcıya herhangi bir hibe ödemesi yapılmaz. </w:t>
      </w:r>
    </w:p>
    <w:p w:rsidR="00E34D8A" w:rsidRPr="00E34D8A" w:rsidRDefault="00E34D8A" w:rsidP="00E34D8A">
      <w:pPr>
        <w:jc w:val="both"/>
        <w:rPr>
          <w:rFonts w:ascii="Times New Roman" w:hAnsi="Times New Roman" w:cs="Times New Roman"/>
          <w:sz w:val="24"/>
          <w:szCs w:val="24"/>
        </w:rPr>
      </w:pPr>
      <w:r w:rsidRPr="00E34D8A">
        <w:rPr>
          <w:rFonts w:ascii="Times New Roman" w:hAnsi="Times New Roman" w:cs="Times New Roman"/>
          <w:sz w:val="24"/>
          <w:szCs w:val="24"/>
        </w:rPr>
        <w:t xml:space="preserve">Personel ders verme/eğitim alma hareketliliğinde, eğitim programında ve/veya katılım sertifikasında yararlanıcının gerekçesiz olarak 2 iş gününün altında bir süre eğitim aldığı durumlarda yararlanıcıya herhangi bir hibe ödemesi yapılmaz. </w:t>
      </w:r>
    </w:p>
    <w:p w:rsidR="00E34D8A" w:rsidRPr="00E34D8A" w:rsidRDefault="00E34D8A" w:rsidP="00E34D8A">
      <w:pPr>
        <w:jc w:val="both"/>
        <w:rPr>
          <w:rFonts w:ascii="Times New Roman" w:hAnsi="Times New Roman" w:cs="Times New Roman"/>
          <w:b/>
          <w:color w:val="FF0000"/>
          <w:sz w:val="24"/>
          <w:szCs w:val="24"/>
          <w:u w:val="single"/>
        </w:rPr>
      </w:pPr>
      <w:r w:rsidRPr="00E34D8A">
        <w:rPr>
          <w:rFonts w:ascii="Times New Roman" w:hAnsi="Times New Roman" w:cs="Times New Roman"/>
          <w:b/>
          <w:color w:val="FF0000"/>
          <w:sz w:val="24"/>
          <w:szCs w:val="24"/>
          <w:u w:val="single"/>
        </w:rPr>
        <w:t xml:space="preserve">B- </w:t>
      </w:r>
      <w:proofErr w:type="spellStart"/>
      <w:r w:rsidRPr="00E34D8A">
        <w:rPr>
          <w:rFonts w:ascii="Times New Roman" w:hAnsi="Times New Roman" w:cs="Times New Roman"/>
          <w:b/>
          <w:color w:val="FF0000"/>
          <w:sz w:val="24"/>
          <w:szCs w:val="24"/>
          <w:u w:val="single"/>
        </w:rPr>
        <w:t>Hibesiz</w:t>
      </w:r>
      <w:proofErr w:type="spellEnd"/>
      <w:r w:rsidRPr="00E34D8A">
        <w:rPr>
          <w:rFonts w:ascii="Times New Roman" w:hAnsi="Times New Roman" w:cs="Times New Roman"/>
          <w:b/>
          <w:color w:val="FF0000"/>
          <w:sz w:val="24"/>
          <w:szCs w:val="24"/>
          <w:u w:val="single"/>
        </w:rPr>
        <w:t xml:space="preserve"> (“0” Hibeli) Personel Olma Durumu: </w:t>
      </w:r>
    </w:p>
    <w:p w:rsidR="00E34D8A" w:rsidRPr="00E34D8A" w:rsidRDefault="00E34D8A" w:rsidP="00E34D8A">
      <w:pPr>
        <w:jc w:val="both"/>
        <w:rPr>
          <w:rFonts w:ascii="Times New Roman" w:hAnsi="Times New Roman" w:cs="Times New Roman"/>
          <w:sz w:val="24"/>
          <w:szCs w:val="24"/>
        </w:rPr>
      </w:pPr>
      <w:r w:rsidRPr="00E34D8A">
        <w:rPr>
          <w:rFonts w:ascii="Times New Roman" w:hAnsi="Times New Roman" w:cs="Times New Roman"/>
          <w:sz w:val="24"/>
          <w:szCs w:val="24"/>
        </w:rPr>
        <w:t xml:space="preserve">Personel istediği takdirde hibe almaksızın faaliyete katılabilir. Faaliyetten </w:t>
      </w:r>
      <w:proofErr w:type="spellStart"/>
      <w:r w:rsidRPr="00E34D8A">
        <w:rPr>
          <w:rFonts w:ascii="Times New Roman" w:hAnsi="Times New Roman" w:cs="Times New Roman"/>
          <w:sz w:val="24"/>
          <w:szCs w:val="24"/>
        </w:rPr>
        <w:t>hibesiz</w:t>
      </w:r>
      <w:proofErr w:type="spellEnd"/>
      <w:r w:rsidRPr="00E34D8A">
        <w:rPr>
          <w:rFonts w:ascii="Times New Roman" w:hAnsi="Times New Roman" w:cs="Times New Roman"/>
          <w:sz w:val="24"/>
          <w:szCs w:val="24"/>
        </w:rPr>
        <w:t xml:space="preserve"> faydalanılabilmesi için de başvuru yapılması ve başvurunun diğer başvurularla beraber değerlendirmeye tabi tutulması gerekmektedir. </w:t>
      </w:r>
    </w:p>
    <w:p w:rsidR="00E34D8A" w:rsidRPr="00E34D8A" w:rsidRDefault="00E34D8A" w:rsidP="00E34D8A">
      <w:pPr>
        <w:jc w:val="both"/>
        <w:rPr>
          <w:rFonts w:ascii="Times New Roman" w:hAnsi="Times New Roman" w:cs="Times New Roman"/>
          <w:sz w:val="24"/>
          <w:szCs w:val="24"/>
        </w:rPr>
      </w:pPr>
      <w:r w:rsidRPr="00E34D8A">
        <w:rPr>
          <w:rFonts w:ascii="Times New Roman" w:hAnsi="Times New Roman" w:cs="Times New Roman"/>
          <w:sz w:val="24"/>
          <w:szCs w:val="24"/>
        </w:rPr>
        <w:t xml:space="preserve">Hibesiz personelin farkı, personelin bütçe hesaplamalarına </w:t>
      </w:r>
      <w:proofErr w:type="gramStart"/>
      <w:r w:rsidRPr="00E34D8A">
        <w:rPr>
          <w:rFonts w:ascii="Times New Roman" w:hAnsi="Times New Roman" w:cs="Times New Roman"/>
          <w:sz w:val="24"/>
          <w:szCs w:val="24"/>
        </w:rPr>
        <w:t>dahil</w:t>
      </w:r>
      <w:proofErr w:type="gramEnd"/>
      <w:r w:rsidRPr="00E34D8A">
        <w:rPr>
          <w:rFonts w:ascii="Times New Roman" w:hAnsi="Times New Roman" w:cs="Times New Roman"/>
          <w:sz w:val="24"/>
          <w:szCs w:val="24"/>
        </w:rPr>
        <w:t xml:space="preserve"> edilmemesi ve kendisine ödeme yapılmamasıdır. Hibe alınmaması personelin seçim sürecine </w:t>
      </w:r>
      <w:proofErr w:type="gramStart"/>
      <w:r w:rsidRPr="00E34D8A">
        <w:rPr>
          <w:rFonts w:ascii="Times New Roman" w:hAnsi="Times New Roman" w:cs="Times New Roman"/>
          <w:sz w:val="24"/>
          <w:szCs w:val="24"/>
        </w:rPr>
        <w:t>dahil</w:t>
      </w:r>
      <w:proofErr w:type="gramEnd"/>
      <w:r w:rsidRPr="00E34D8A">
        <w:rPr>
          <w:rFonts w:ascii="Times New Roman" w:hAnsi="Times New Roman" w:cs="Times New Roman"/>
          <w:sz w:val="24"/>
          <w:szCs w:val="24"/>
        </w:rPr>
        <w:t xml:space="preserve"> olmamasına gerekçe değildir.</w:t>
      </w:r>
    </w:p>
    <w:p w:rsidR="00E34D8A" w:rsidRPr="00E34D8A" w:rsidRDefault="00E34D8A" w:rsidP="00E34D8A">
      <w:pPr>
        <w:jc w:val="both"/>
        <w:rPr>
          <w:rFonts w:ascii="Times New Roman" w:hAnsi="Times New Roman" w:cs="Times New Roman"/>
          <w:b/>
          <w:color w:val="FF0000"/>
          <w:sz w:val="24"/>
          <w:szCs w:val="24"/>
          <w:u w:val="single"/>
        </w:rPr>
      </w:pPr>
      <w:r w:rsidRPr="00E34D8A">
        <w:rPr>
          <w:rFonts w:ascii="Times New Roman" w:hAnsi="Times New Roman" w:cs="Times New Roman"/>
          <w:b/>
          <w:color w:val="FF0000"/>
          <w:sz w:val="24"/>
          <w:szCs w:val="24"/>
          <w:u w:val="single"/>
        </w:rPr>
        <w:t xml:space="preserve"> C- Diğer hususlar </w:t>
      </w:r>
    </w:p>
    <w:p w:rsidR="00E34D8A" w:rsidRPr="00E34D8A" w:rsidRDefault="00E34D8A" w:rsidP="00E34D8A">
      <w:pPr>
        <w:jc w:val="both"/>
        <w:rPr>
          <w:rFonts w:ascii="Times New Roman" w:hAnsi="Times New Roman" w:cs="Times New Roman"/>
          <w:sz w:val="24"/>
          <w:szCs w:val="24"/>
        </w:rPr>
      </w:pPr>
      <w:r w:rsidRPr="00E34D8A">
        <w:rPr>
          <w:rFonts w:ascii="Times New Roman" w:hAnsi="Times New Roman" w:cs="Times New Roman"/>
          <w:sz w:val="24"/>
          <w:szCs w:val="24"/>
        </w:rPr>
        <w:t xml:space="preserve">Faaliyetten faydalanan personele ödenebilecek en yüksek günlük/haftalık hibe miktarı personelin öğretim/eğitim programında faaliyet yapıldığı görünen günler ile seyahat gerçekleştirdiği günlerin toplamı için hesaplanan tutardır. </w:t>
      </w:r>
    </w:p>
    <w:p w:rsidR="00E34D8A" w:rsidRPr="00E34D8A" w:rsidRDefault="00E34D8A" w:rsidP="00E34D8A">
      <w:pPr>
        <w:jc w:val="both"/>
        <w:rPr>
          <w:rFonts w:ascii="Times New Roman" w:hAnsi="Times New Roman" w:cs="Times New Roman"/>
          <w:sz w:val="24"/>
          <w:szCs w:val="24"/>
        </w:rPr>
      </w:pPr>
      <w:r w:rsidRPr="00E34D8A">
        <w:rPr>
          <w:rFonts w:ascii="Times New Roman" w:hAnsi="Times New Roman" w:cs="Times New Roman"/>
          <w:sz w:val="24"/>
          <w:szCs w:val="24"/>
        </w:rPr>
        <w:t xml:space="preserve">Personel hareketliliğinden faydalanan personele verilen günlük/haftalık hibe kalacak yer, yeme içme masrafları, iletişim giderleri, şehir içi seyahat giderleri ev sigorta masrafları gibi giderleri kapsar. Söz konusu giderler için ayrıca ödeme yapılmaz. </w:t>
      </w:r>
    </w:p>
    <w:p w:rsidR="00E34D8A" w:rsidRPr="00E34D8A" w:rsidRDefault="00E34D8A" w:rsidP="00E34D8A">
      <w:pPr>
        <w:jc w:val="both"/>
        <w:rPr>
          <w:rFonts w:ascii="Times New Roman" w:hAnsi="Times New Roman" w:cs="Times New Roman"/>
          <w:sz w:val="24"/>
          <w:szCs w:val="24"/>
        </w:rPr>
      </w:pPr>
      <w:r w:rsidRPr="00E34D8A">
        <w:rPr>
          <w:rFonts w:ascii="Times New Roman" w:hAnsi="Times New Roman" w:cs="Times New Roman"/>
          <w:sz w:val="24"/>
          <w:szCs w:val="24"/>
        </w:rPr>
        <w:t xml:space="preserve">Personel hareketliliğinden faydalanan personele günlük hibe ödemesi yapılabilmesi için personelin bahsi geçen günde mümkün olduğunca tam güne yakın olacak şekilde karşı kurumla ortaklaşa faaliyet ya da gidiş-dönüş seyahatinin gerçekleştirilmiş olması gerekmektedir. </w:t>
      </w:r>
    </w:p>
    <w:p w:rsidR="00E34D8A" w:rsidRPr="00E34D8A" w:rsidRDefault="00E34D8A" w:rsidP="00E34D8A">
      <w:pPr>
        <w:jc w:val="both"/>
        <w:rPr>
          <w:rFonts w:ascii="Times New Roman" w:hAnsi="Times New Roman" w:cs="Times New Roman"/>
          <w:b/>
          <w:sz w:val="24"/>
          <w:szCs w:val="24"/>
        </w:rPr>
      </w:pPr>
      <w:r w:rsidRPr="00E34D8A">
        <w:rPr>
          <w:rFonts w:ascii="Times New Roman" w:hAnsi="Times New Roman" w:cs="Times New Roman"/>
          <w:sz w:val="24"/>
          <w:szCs w:val="24"/>
        </w:rPr>
        <w:t>Gerek faaliyet gerek seyahat günlerinin belgelendirilmiş olması gerekmektedir. Seyahat gerçekleştirilen günler için (seyahat belgeleri ile desteklendiği takdirde ve gidiş için 1, dönüş için 1/2 olmak üzere toplamda 1,5 günden fazla olmamak şartı ile) hibe ödemesi yapılabilir.</w:t>
      </w:r>
    </w:p>
    <w:sectPr w:rsidR="00E34D8A" w:rsidRPr="00E34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BB"/>
    <w:rsid w:val="002D2677"/>
    <w:rsid w:val="0060432C"/>
    <w:rsid w:val="009B0969"/>
    <w:rsid w:val="00E34D8A"/>
    <w:rsid w:val="00F95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95BBB"/>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E34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95BBB"/>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E34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europa.eu/programmes/erasmus-plus/tools/distance_en.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707</Words>
  <Characters>4036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ercan</dc:creator>
  <cp:lastModifiedBy>ercan</cp:lastModifiedBy>
  <cp:revision>2</cp:revision>
  <dcterms:created xsi:type="dcterms:W3CDTF">2020-01-06T06:54:00Z</dcterms:created>
  <dcterms:modified xsi:type="dcterms:W3CDTF">2020-01-06T08:49:00Z</dcterms:modified>
</cp:coreProperties>
</file>